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F2" w:rsidRDefault="00CB2FF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B2FF2" w:rsidRDefault="00CB2FF2">
      <w:pPr>
        <w:pStyle w:val="ConsPlusNormal"/>
        <w:jc w:val="both"/>
        <w:outlineLvl w:val="0"/>
      </w:pPr>
    </w:p>
    <w:p w:rsidR="00CB2FF2" w:rsidRDefault="00CB2FF2">
      <w:pPr>
        <w:pStyle w:val="ConsPlusTitle"/>
        <w:jc w:val="center"/>
      </w:pPr>
      <w:r>
        <w:t>ФЕДЕРАЛЬНАЯ АНТИМОНОПОЛЬНАЯ СЛУЖБА</w:t>
      </w:r>
    </w:p>
    <w:p w:rsidR="00CB2FF2" w:rsidRDefault="00CB2FF2">
      <w:pPr>
        <w:pStyle w:val="ConsPlusTitle"/>
        <w:jc w:val="center"/>
      </w:pPr>
    </w:p>
    <w:p w:rsidR="00CB2FF2" w:rsidRDefault="00CB2FF2">
      <w:pPr>
        <w:pStyle w:val="ConsPlusTitle"/>
        <w:jc w:val="center"/>
      </w:pPr>
      <w:r>
        <w:t>ПИСЬМО</w:t>
      </w:r>
    </w:p>
    <w:p w:rsidR="00CB2FF2" w:rsidRDefault="00CB2FF2">
      <w:pPr>
        <w:pStyle w:val="ConsPlusTitle"/>
        <w:jc w:val="center"/>
      </w:pPr>
      <w:r>
        <w:t>от 12 июля 2013 г. N ЦА/27149/13</w:t>
      </w:r>
    </w:p>
    <w:p w:rsidR="00CB2FF2" w:rsidRDefault="00CB2FF2">
      <w:pPr>
        <w:pStyle w:val="ConsPlusTitle"/>
        <w:jc w:val="center"/>
      </w:pPr>
    </w:p>
    <w:p w:rsidR="00CB2FF2" w:rsidRDefault="00CB2FF2">
      <w:pPr>
        <w:pStyle w:val="ConsPlusTitle"/>
        <w:jc w:val="center"/>
      </w:pPr>
      <w:r>
        <w:t>О РАЗЪЯСНЕНИИ ЗАКОНОДАТЕЛЬСТВА</w:t>
      </w:r>
    </w:p>
    <w:p w:rsidR="00CB2FF2" w:rsidRDefault="00CB2FF2">
      <w:pPr>
        <w:pStyle w:val="ConsPlusNormal"/>
        <w:jc w:val="center"/>
      </w:pPr>
    </w:p>
    <w:p w:rsidR="00CB2FF2" w:rsidRDefault="00CB2FF2">
      <w:pPr>
        <w:pStyle w:val="ConsPlusNormal"/>
        <w:ind w:firstLine="540"/>
        <w:jc w:val="both"/>
      </w:pPr>
      <w:r>
        <w:t xml:space="preserve">Федеральная антимонопольная служба (далее - ФАС России) рассмотрела обращение Управления Федеральной антимонопольной службы по Приморскому краю от 11.06.2013 N 3963/03 о разъяснении положений Федерального </w:t>
      </w:r>
      <w:hyperlink r:id="rId5">
        <w:r>
          <w:rPr>
            <w:color w:val="0000FF"/>
          </w:rPr>
          <w:t>закона</w:t>
        </w:r>
      </w:hyperlink>
      <w:r>
        <w:t xml:space="preserve">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и сообщает следующее.</w:t>
      </w:r>
    </w:p>
    <w:p w:rsidR="00CB2FF2" w:rsidRDefault="00CB2FF2">
      <w:pPr>
        <w:pStyle w:val="ConsPlusNormal"/>
        <w:spacing w:before="220"/>
        <w:ind w:firstLine="540"/>
        <w:jc w:val="both"/>
      </w:pPr>
      <w:r>
        <w:t xml:space="preserve">1. Согласно </w:t>
      </w:r>
      <w:hyperlink r:id="rId6">
        <w:r>
          <w:rPr>
            <w:color w:val="0000FF"/>
          </w:rPr>
          <w:t>пункту 1 части 2 статьи 55</w:t>
        </w:r>
      </w:hyperlink>
      <w:r>
        <w:t xml:space="preserve"> Закона о размещении заказов размещение заказа у единственного поставщика (исполнителя, подрядчика) осуществляется заказчиком в случае, если поставки товаров, выполнение работ, оказание услуг относятся к сфере деятельности субъектов естественных монополий.</w:t>
      </w:r>
    </w:p>
    <w:p w:rsidR="00CB2FF2" w:rsidRDefault="00CB2FF2">
      <w:pPr>
        <w:pStyle w:val="ConsPlusNormal"/>
        <w:spacing w:before="220"/>
        <w:ind w:firstLine="540"/>
        <w:jc w:val="both"/>
      </w:pPr>
      <w:r>
        <w:t xml:space="preserve">Постановлением Правительства Российской Федерации от 24.10.2005 N 637 утвержден </w:t>
      </w:r>
      <w:hyperlink r:id="rId7">
        <w:r>
          <w:rPr>
            <w:color w:val="0000FF"/>
          </w:rPr>
          <w:t>Перечень</w:t>
        </w:r>
      </w:hyperlink>
      <w:r>
        <w:t xml:space="preserve"> услуг общедоступной электросвязи и общедоступной почтовой связи, государственное регулирование тарифов на которые на внутреннем рынке Российской Федерации осуществляет Федеральная служба по тарифам, согласно которому, знаки почтовой оплаты (почтовые марки, маркированные конверты, почтовые карточки) не относятся к услугам общедоступной почтовой связи, следовательно, не являются видами деятельности, отнесенными к сфере деятельности субъектов естественных монополий.</w:t>
      </w:r>
    </w:p>
    <w:p w:rsidR="00CB2FF2" w:rsidRDefault="00CB2FF2">
      <w:pPr>
        <w:pStyle w:val="ConsPlusNormal"/>
        <w:spacing w:before="220"/>
        <w:ind w:firstLine="540"/>
        <w:jc w:val="both"/>
      </w:pPr>
      <w:r>
        <w:t xml:space="preserve">Данное обстоятельство обязывает заказчика размещать заказы на поставку маркированных конвертов, почтовых карточек и почтовых марок в соответствии с положениями </w:t>
      </w:r>
      <w:hyperlink r:id="rId8">
        <w:r>
          <w:rPr>
            <w:color w:val="0000FF"/>
          </w:rPr>
          <w:t>Закона</w:t>
        </w:r>
      </w:hyperlink>
      <w:r>
        <w:t xml:space="preserve"> о размещении заказов, в частности, в соответствии с </w:t>
      </w:r>
      <w:hyperlink r:id="rId9">
        <w:r>
          <w:rPr>
            <w:color w:val="0000FF"/>
          </w:rPr>
          <w:t>частью 2 статьи 42</w:t>
        </w:r>
      </w:hyperlink>
      <w:r>
        <w:t xml:space="preserve"> Закона о размещении заказов заказчик вправе размещать заказы путем запроса котировок, в случае если цена государственного или муниципального контракта не превышает пятьсот тысяч рублей, за исключением случаев, предусмотренных </w:t>
      </w:r>
      <w:hyperlink r:id="rId10">
        <w:r>
          <w:rPr>
            <w:color w:val="0000FF"/>
          </w:rPr>
          <w:t>частями 5</w:t>
        </w:r>
      </w:hyperlink>
      <w:r>
        <w:t xml:space="preserve"> и </w:t>
      </w:r>
      <w:hyperlink r:id="rId11">
        <w:r>
          <w:rPr>
            <w:color w:val="0000FF"/>
          </w:rPr>
          <w:t>6</w:t>
        </w:r>
      </w:hyperlink>
      <w:r>
        <w:t xml:space="preserve"> указанной статьи и </w:t>
      </w:r>
      <w:hyperlink r:id="rId12">
        <w:r>
          <w:rPr>
            <w:color w:val="0000FF"/>
          </w:rPr>
          <w:t>главой 5</w:t>
        </w:r>
      </w:hyperlink>
      <w:r>
        <w:t xml:space="preserve"> Закона о размещении заказов.</w:t>
      </w:r>
    </w:p>
    <w:p w:rsidR="00CB2FF2" w:rsidRDefault="00CB2FF2">
      <w:pPr>
        <w:pStyle w:val="ConsPlusNormal"/>
        <w:spacing w:before="220"/>
        <w:ind w:firstLine="540"/>
        <w:jc w:val="both"/>
      </w:pPr>
      <w:r>
        <w:t>Однако, в случае, если цена государственного или муниципального контракта превышает пятьсот тысяч рублей, заказчик обязан размещать заказы исключительно путем проведения торгов в соответствии с положениями Закона о размещении заказов.</w:t>
      </w:r>
    </w:p>
    <w:p w:rsidR="00CB2FF2" w:rsidRDefault="00CB2FF2">
      <w:pPr>
        <w:pStyle w:val="ConsPlusNormal"/>
        <w:spacing w:before="220"/>
        <w:ind w:firstLine="540"/>
        <w:jc w:val="both"/>
      </w:pPr>
      <w:r>
        <w:t xml:space="preserve">2. </w:t>
      </w:r>
      <w:hyperlink r:id="rId13">
        <w:r>
          <w:rPr>
            <w:color w:val="0000FF"/>
          </w:rPr>
          <w:t>Пунктом 5 части 2 статьи 55</w:t>
        </w:r>
      </w:hyperlink>
      <w:r>
        <w:t xml:space="preserve"> Закона о размещении заказов установлено, что размещение заказа у единственного поставщика (исполнителя, подрядчика) осуществляется заказчиком в случае, 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CB2FF2" w:rsidRDefault="00CB2FF2">
      <w:pPr>
        <w:pStyle w:val="ConsPlusNormal"/>
        <w:spacing w:before="220"/>
        <w:ind w:firstLine="540"/>
        <w:jc w:val="both"/>
      </w:pPr>
      <w:r>
        <w:t xml:space="preserve">Вместе с тем, исключительные полномочия ФГУП "Почта России", в том числе по поставке знаков почтовой оплаты нормативными правовыми актами Российской Федерации, нормативными правовыми актами субъекта Российской Федерации не установлены, в связи с чем заключение государственных контрактов на поставку маркированных конвертов, почтовых карточек и почтовых марок с ФГУП "Почта России" на основании </w:t>
      </w:r>
      <w:hyperlink r:id="rId14">
        <w:r>
          <w:rPr>
            <w:color w:val="0000FF"/>
          </w:rPr>
          <w:t>пункта 5 части 2 статьи 55</w:t>
        </w:r>
      </w:hyperlink>
      <w:r>
        <w:t xml:space="preserve"> Закона о размещении заказов неправомерно.</w:t>
      </w:r>
    </w:p>
    <w:p w:rsidR="00CB2FF2" w:rsidRDefault="00CB2FF2">
      <w:pPr>
        <w:pStyle w:val="ConsPlusNormal"/>
        <w:ind w:firstLine="540"/>
        <w:jc w:val="both"/>
      </w:pPr>
    </w:p>
    <w:p w:rsidR="00CB2FF2" w:rsidRDefault="00CB2FF2">
      <w:pPr>
        <w:pStyle w:val="ConsPlusNormal"/>
        <w:jc w:val="right"/>
      </w:pPr>
      <w:r>
        <w:t>Заместитель руководителя</w:t>
      </w:r>
    </w:p>
    <w:p w:rsidR="00CB2FF2" w:rsidRDefault="00CB2FF2">
      <w:pPr>
        <w:pStyle w:val="ConsPlusNormal"/>
        <w:jc w:val="right"/>
      </w:pPr>
      <w:r>
        <w:t>А.Г.ЦЫГАНОВ</w:t>
      </w:r>
    </w:p>
    <w:p w:rsidR="00CB2FF2" w:rsidRDefault="00CB2FF2">
      <w:pPr>
        <w:pStyle w:val="ConsPlusNormal"/>
        <w:ind w:firstLine="540"/>
        <w:jc w:val="both"/>
      </w:pPr>
    </w:p>
    <w:p w:rsidR="00CB2FF2" w:rsidRDefault="00CB2FF2">
      <w:pPr>
        <w:pStyle w:val="ConsPlusNormal"/>
        <w:ind w:firstLine="540"/>
        <w:jc w:val="both"/>
      </w:pPr>
    </w:p>
    <w:p w:rsidR="00CB2FF2" w:rsidRDefault="00CB2FF2">
      <w:pPr>
        <w:pStyle w:val="ConsPlusNormal"/>
        <w:pBdr>
          <w:bottom w:val="single" w:sz="6" w:space="0" w:color="auto"/>
        </w:pBdr>
        <w:spacing w:before="100" w:after="100"/>
        <w:jc w:val="both"/>
        <w:rPr>
          <w:sz w:val="2"/>
          <w:szCs w:val="2"/>
        </w:rPr>
      </w:pPr>
    </w:p>
    <w:p w:rsidR="006D0DE0" w:rsidRDefault="006D0DE0">
      <w:bookmarkStart w:id="0" w:name="_GoBack"/>
      <w:bookmarkEnd w:id="0"/>
    </w:p>
    <w:sectPr w:rsidR="006D0DE0" w:rsidSect="00DB2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F2"/>
    <w:rsid w:val="006D0DE0"/>
    <w:rsid w:val="008C3F97"/>
    <w:rsid w:val="00CB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DF9A0-F6FA-4C70-A590-E0B9B2FF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F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2F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2F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148890" TargetMode="External"/><Relationship Id="rId13" Type="http://schemas.openxmlformats.org/officeDocument/2006/relationships/hyperlink" Target="https://login.consultant.ru/link/?req=doc&amp;base=RZB&amp;n=148890&amp;dst=1061" TargetMode="External"/><Relationship Id="rId3" Type="http://schemas.openxmlformats.org/officeDocument/2006/relationships/webSettings" Target="webSettings.xml"/><Relationship Id="rId7" Type="http://schemas.openxmlformats.org/officeDocument/2006/relationships/hyperlink" Target="https://login.consultant.ru/link/?req=doc&amp;base=RZB&amp;n=358131&amp;dst=100053" TargetMode="External"/><Relationship Id="rId12" Type="http://schemas.openxmlformats.org/officeDocument/2006/relationships/hyperlink" Target="https://login.consultant.ru/link/?req=doc&amp;base=RZB&amp;n=148890&amp;dst=10049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148890&amp;dst=100570" TargetMode="External"/><Relationship Id="rId11" Type="http://schemas.openxmlformats.org/officeDocument/2006/relationships/hyperlink" Target="https://login.consultant.ru/link/?req=doc&amp;base=RZB&amp;n=148890&amp;dst=1045" TargetMode="External"/><Relationship Id="rId5" Type="http://schemas.openxmlformats.org/officeDocument/2006/relationships/hyperlink" Target="https://login.consultant.ru/link/?req=doc&amp;base=RZB&amp;n=148890" TargetMode="External"/><Relationship Id="rId15" Type="http://schemas.openxmlformats.org/officeDocument/2006/relationships/fontTable" Target="fontTable.xml"/><Relationship Id="rId10" Type="http://schemas.openxmlformats.org/officeDocument/2006/relationships/hyperlink" Target="https://login.consultant.ru/link/?req=doc&amp;base=RZB&amp;n=148890&amp;dst=10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48890&amp;dst=101003" TargetMode="External"/><Relationship Id="rId14" Type="http://schemas.openxmlformats.org/officeDocument/2006/relationships/hyperlink" Target="https://login.consultant.ru/link/?req=doc&amp;base=RZB&amp;n=148890&amp;dst=1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Скворцова</dc:creator>
  <cp:keywords/>
  <dc:description/>
  <cp:lastModifiedBy>Анна Скворцова</cp:lastModifiedBy>
  <cp:revision>1</cp:revision>
  <dcterms:created xsi:type="dcterms:W3CDTF">2024-06-24T11:50:00Z</dcterms:created>
  <dcterms:modified xsi:type="dcterms:W3CDTF">2024-06-24T11:50:00Z</dcterms:modified>
</cp:coreProperties>
</file>