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FA" w:rsidRDefault="00B606A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F2E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тчет </w:t>
      </w:r>
    </w:p>
    <w:p w:rsidR="00B606A1" w:rsidRDefault="000F2EFE" w:rsidP="00B606A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мониторинга закупок товаров, работ, услуг, осуществленных            за 9 месяцев 2022 года для </w:t>
      </w:r>
      <w:r w:rsidR="00B606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нужд Смоленской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B606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63FA" w:rsidRDefault="00B606A1" w:rsidP="00B606A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5 апреля 2013 года</w:t>
      </w:r>
    </w:p>
    <w:p w:rsidR="006E63FA" w:rsidRDefault="006E63F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Общие сведения</w:t>
      </w:r>
    </w:p>
    <w:p w:rsidR="006E63FA" w:rsidRDefault="000F2EFE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отчетном периоде закупки для нужд 229 заказчиков осуществлялись централизованно через уполномоченный орган – Главное управление Смоленской области по регулированию контрактной системы (далее – Главное управление) путем проведения конкурентных процедур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на 3 электронных торговых площадках. </w:t>
      </w:r>
    </w:p>
    <w:p w:rsidR="006E63FA" w:rsidRDefault="000F2EFE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Победителями в конкурентных закупках стали 1 556 поставщиков, из которых около 30% – это предприниматели Смоленской области.</w:t>
      </w:r>
    </w:p>
    <w:p w:rsidR="006E63FA" w:rsidRDefault="006E63FA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2945" cy="3286125"/>
            <wp:effectExtent l="0" t="0" r="825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DB3EC4" w:rsidRDefault="00DB3EC4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Справочно</w:t>
      </w:r>
      <w:proofErr w:type="spellEnd"/>
    </w:p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2320"/>
        <w:gridCol w:w="2920"/>
        <w:gridCol w:w="3119"/>
        <w:gridCol w:w="1836"/>
      </w:tblGrid>
      <w:tr w:rsidR="006E63FA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электронной площадки</w:t>
            </w:r>
          </w:p>
        </w:tc>
        <w:tc>
          <w:tcPr>
            <w:tcW w:w="29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размещенных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НМЦК размещенных закупок, руб.</w:t>
            </w:r>
          </w:p>
        </w:tc>
        <w:tc>
          <w:tcPr>
            <w:tcW w:w="1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E63FA" w:rsidRDefault="006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Доля, %</w:t>
            </w:r>
          </w:p>
        </w:tc>
      </w:tr>
      <w:tr w:rsidR="006E63FA">
        <w:trPr>
          <w:trHeight w:val="300"/>
        </w:trPr>
        <w:tc>
          <w:tcPr>
            <w:tcW w:w="23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FA" w:rsidRDefault="000F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«ЕЭТП»</w:t>
            </w:r>
          </w:p>
        </w:tc>
        <w:tc>
          <w:tcPr>
            <w:tcW w:w="2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4 142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7 581 052 407,91</w:t>
            </w:r>
          </w:p>
        </w:tc>
        <w:tc>
          <w:tcPr>
            <w:tcW w:w="1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6E63FA">
        <w:trPr>
          <w:trHeight w:val="300"/>
        </w:trPr>
        <w:tc>
          <w:tcPr>
            <w:tcW w:w="23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FA" w:rsidRDefault="000F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«Сбербанк-АСТ»</w:t>
            </w:r>
          </w:p>
        </w:tc>
        <w:tc>
          <w:tcPr>
            <w:tcW w:w="2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823 709 605,17</w:t>
            </w:r>
          </w:p>
        </w:tc>
        <w:tc>
          <w:tcPr>
            <w:tcW w:w="1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6E63FA">
        <w:trPr>
          <w:trHeight w:val="300"/>
        </w:trPr>
        <w:tc>
          <w:tcPr>
            <w:tcW w:w="23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FA" w:rsidRDefault="000F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РТС-тендер</w:t>
            </w:r>
          </w:p>
        </w:tc>
        <w:tc>
          <w:tcPr>
            <w:tcW w:w="2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1 391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5 917 774 337,29</w:t>
            </w:r>
          </w:p>
        </w:tc>
        <w:tc>
          <w:tcPr>
            <w:tcW w:w="1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E63FA" w:rsidRDefault="000F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</w:tbl>
    <w:p w:rsidR="006E63FA" w:rsidRDefault="006E63FA">
      <w:pPr>
        <w:widowControl w:val="0"/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Конкурентные процедуры закупок</w:t>
      </w:r>
    </w:p>
    <w:p w:rsidR="006E63FA" w:rsidRDefault="006E63F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Структура конкурентных процедур закупок</w:t>
      </w:r>
    </w:p>
    <w:p w:rsidR="006E63FA" w:rsidRDefault="006E63F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для организации торгов в Главное управление Смоленской области по регулированию контрактной системы поступило 10 068  заявок на закупку товаров, работ, услуг (на 672 больше, чем в аналогичном периоде 2021 года), на основании которых подготовлены и опубликованы на сайте Единой информационной системы в сфере закупок (далее – ЕИС) 6 104 конкурентных процедур, из которых            5 834 индивидуальных, 270 совместных (за 9 месяцев 2021 года – 5 942 индивидуальных, 203 совместных).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Преимущественным способом определения поставщиков в отчетном периоде 2022 года, как и в аналогичном периоде 2021 года, являлся электронный аукцион (58%).</w: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0F2EFE">
      <w:pPr>
        <w:pStyle w:val="af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65900" cy="2505710"/>
                <wp:effectExtent l="0" t="0" r="6350" b="889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65900" cy="2505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7.0pt;height:197.3pt;" stroked="false">
                <v:path textboxrect="0,0,0,0"/>
                <v:imagedata r:id="rId11" o:title=""/>
              </v:shape>
            </w:pict>
          </mc:Fallback>
        </mc:AlternateContent>
      </w: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</w:p>
    <w:p w:rsidR="006E63FA" w:rsidRDefault="000F2EFE">
      <w:pPr>
        <w:widowControl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9 месяцев 2022 г.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1701"/>
        <w:gridCol w:w="1590"/>
        <w:gridCol w:w="1965"/>
      </w:tblGrid>
      <w:tr w:rsidR="006E63FA">
        <w:tc>
          <w:tcPr>
            <w:tcW w:w="10184" w:type="dxa"/>
            <w:gridSpan w:val="6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Распределение закупок в зависимости от способа закупки</w:t>
            </w:r>
          </w:p>
        </w:tc>
      </w:tr>
      <w:tr w:rsidR="006E63FA">
        <w:tc>
          <w:tcPr>
            <w:tcW w:w="959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985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НМЦК размещенных закупок, руб.</w:t>
            </w:r>
          </w:p>
        </w:tc>
        <w:tc>
          <w:tcPr>
            <w:tcW w:w="1701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Кол-во размещенных закупок</w:t>
            </w:r>
          </w:p>
        </w:tc>
        <w:tc>
          <w:tcPr>
            <w:tcW w:w="1590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Кол-во заключенных контрактов</w:t>
            </w:r>
          </w:p>
        </w:tc>
        <w:tc>
          <w:tcPr>
            <w:tcW w:w="1965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Сумма заключенных контрактов, руб.</w:t>
            </w:r>
          </w:p>
        </w:tc>
      </w:tr>
      <w:tr w:rsidR="006E63FA"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Электронный аукцион, в том числе: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9 646 508 798,71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3 515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6 447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7 273 855 076,24</w:t>
            </w:r>
          </w:p>
        </w:tc>
      </w:tr>
      <w:tr w:rsidR="006E6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FA" w:rsidRDefault="006E63F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индивидуальные закупки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8 866 037 520,46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3245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2 662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FA" w:rsidRDefault="000F2EFE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</w:instrText>
            </w:r>
            <w:r w:rsidR="00725749">
              <w:rPr>
                <w:rFonts w:ascii="Times New Roman" w:hAnsi="Times New Roman" w:cs="Times New Roman"/>
              </w:rPr>
              <w:instrText xml:space="preserve">Excel.Sheet.12 "C:\\Users\\Nikolaeva_EV\\Desktop\\2022\\Отчет за 9 месяцев 2022\\счет.xlsx" Лист1!R3C6 </w:instrText>
            </w:r>
            <w:r>
              <w:rPr>
                <w:rFonts w:ascii="Times New Roman" w:hAnsi="Times New Roman" w:cs="Times New Roman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6 603 484 434,78</w:t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E63FA">
        <w:tc>
          <w:tcPr>
            <w:tcW w:w="959" w:type="dxa"/>
            <w:vMerge/>
            <w:tcBorders>
              <w:top w:val="single" w:sz="4" w:space="0" w:color="auto"/>
            </w:tcBorders>
          </w:tcPr>
          <w:p w:rsidR="006E63FA" w:rsidRDefault="006E63FA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совместные закупки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780 471 278,25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3 785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6E63FA" w:rsidRDefault="000F2EFE"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</w:instrText>
            </w:r>
            <w:r w:rsidR="00725749">
              <w:rPr>
                <w:rFonts w:ascii="Times New Roman" w:hAnsi="Times New Roman" w:cs="Times New Roman"/>
              </w:rPr>
              <w:instrText xml:space="preserve">Excel.Sheet.12 "C:\\Users\\Nikolaeva_EV\\Desktop\\2022\\Отчет за 9 месяцев 2022\\счет.xlsx" Лист1!R4C6 </w:instrText>
            </w:r>
            <w:r>
              <w:rPr>
                <w:rFonts w:ascii="Times New Roman" w:hAnsi="Times New Roman" w:cs="Times New Roman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670 370 641,46</w:t>
            </w:r>
          </w:p>
          <w:p w:rsidR="006E63FA" w:rsidRDefault="000F2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E63FA">
        <w:tc>
          <w:tcPr>
            <w:tcW w:w="959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756 306 763,23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2 521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1 946</w:t>
            </w:r>
          </w:p>
        </w:tc>
        <w:tc>
          <w:tcPr>
            <w:tcW w:w="1965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514 379 271,23</w:t>
            </w:r>
          </w:p>
        </w:tc>
      </w:tr>
      <w:tr w:rsidR="006E63FA">
        <w:tc>
          <w:tcPr>
            <w:tcW w:w="959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Открытый конкурс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3 920 002 278,43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1965" w:type="dxa"/>
          </w:tcPr>
          <w:p w:rsidR="006E63FA" w:rsidRDefault="000F2EFE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</w:instrText>
            </w:r>
            <w:r w:rsidR="00725749">
              <w:rPr>
                <w:rFonts w:ascii="Times New Roman" w:hAnsi="Times New Roman" w:cs="Times New Roman"/>
              </w:rPr>
              <w:instrText xml:space="preserve">Excel.Sheet.12 "C:\\Users\\Nikolaeva_EV\\Desktop\\2022\\Отчет за 9 месяцев 2022\\счет.xlsx" Лист1!R10C6 </w:instrText>
            </w:r>
            <w:r>
              <w:rPr>
                <w:rFonts w:ascii="Times New Roman" w:hAnsi="Times New Roman" w:cs="Times New Roman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3 615 072 589,55</w:t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E63FA">
        <w:tc>
          <w:tcPr>
            <w:tcW w:w="2943" w:type="dxa"/>
            <w:gridSpan w:val="2"/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14 322 817 840,37</w:t>
            </w:r>
          </w:p>
        </w:tc>
        <w:tc>
          <w:tcPr>
            <w:tcW w:w="1701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6 104</w:t>
            </w:r>
          </w:p>
        </w:tc>
        <w:tc>
          <w:tcPr>
            <w:tcW w:w="1590" w:type="dxa"/>
          </w:tcPr>
          <w:p w:rsidR="006E63FA" w:rsidRDefault="000F2EFE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8 457</w:t>
            </w:r>
          </w:p>
        </w:tc>
        <w:tc>
          <w:tcPr>
            <w:tcW w:w="1965" w:type="dxa"/>
          </w:tcPr>
          <w:p w:rsidR="006E63FA" w:rsidRDefault="000F2EFE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11 403 306 937,02</w:t>
            </w:r>
          </w:p>
        </w:tc>
      </w:tr>
    </w:tbl>
    <w:p w:rsidR="006E63FA" w:rsidRDefault="006E63FA">
      <w:pPr>
        <w:widowControl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6E63FA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E63FA" w:rsidRDefault="000F2EF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НМЦК объявленных процедур </w: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начальных (максимальных) цен контрактов объявленных торгов составила </w:t>
      </w:r>
      <w:r>
        <w:rPr>
          <w:rFonts w:ascii="Times New Roman" w:hAnsi="Times New Roman" w:cs="Times New Roman"/>
          <w:bCs/>
          <w:sz w:val="28"/>
          <w:szCs w:val="28"/>
        </w:rPr>
        <w:t>14 млрд. 323 млн. руб., что на 298 млн. руб. (2,1%) больше по отношению к 9 месяцам 2021 года.</w: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E63FA" w:rsidRDefault="000F2E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755130" cy="2554605"/>
                <wp:effectExtent l="0" t="0" r="7620" b="0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55130" cy="2554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31.9pt;height:201.1pt;" stroked="false">
                <v:path textboxrect="0,0,0,0"/>
                <v:imagedata r:id="rId13" o:title=""/>
              </v:shape>
            </w:pict>
          </mc:Fallback>
        </mc:AlternateContent>
      </w:r>
    </w:p>
    <w:p w:rsidR="006E63FA" w:rsidRDefault="006E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3FA" w:rsidRDefault="006E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Уровень конкуренции на торгах</w:t>
      </w:r>
    </w:p>
    <w:p w:rsidR="006E63FA" w:rsidRDefault="000F2EF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63FA" w:rsidRDefault="000F2EF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Среднее количество поданных заявок участников в отчетном периоде – 2,17 (в аналогичном периоде 2021 года – 2,36).</w:t>
      </w:r>
    </w:p>
    <w:p w:rsidR="006E63FA" w:rsidRDefault="006E63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6E63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0F2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6637" cy="2713940"/>
            <wp:effectExtent l="0" t="0" r="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6170" cy="1850746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63FA" w:rsidRDefault="000F2EFE">
      <w:pPr>
        <w:spacing w:after="0"/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Рис. 5. Динамика уровня конкуренции</w:t>
      </w:r>
    </w:p>
    <w:p w:rsidR="006E63FA" w:rsidRDefault="006E63F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6E63FA" w:rsidRDefault="000F2EFE">
      <w:pPr>
        <w:spacing w:after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E63FA" w:rsidRDefault="006E63F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6E63FA" w:rsidRDefault="000F2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Результаты определения поставщиков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результатам процедур закупок в отчетном периоде заключено 8 457 контрактов, что на 11% больше, чем за 9 месяцев 2021 года (7 556).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Общая стоимость заключенных контрактов составила 11 млрд. 403 млн. руб., что на 2,7 млн. руб. (23,8%) больше, чем в аналогичном периоде 2021 года.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этом большая часть – 5 221 контрактов (61,7%) на сумму 5 млрд. 787 млн. руб. заключена с предпринимателями Смоленской области. </w:t>
      </w:r>
    </w:p>
    <w:p w:rsidR="006E63FA" w:rsidRDefault="006E63F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63FA" w:rsidRDefault="006E63FA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Справочно</w:t>
      </w:r>
      <w:proofErr w:type="spellEnd"/>
    </w:p>
    <w:p w:rsidR="006E63FA" w:rsidRDefault="000F2EFE">
      <w:pPr>
        <w:widowControl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9 месяцев 2022 г.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834"/>
        <w:gridCol w:w="2981"/>
        <w:gridCol w:w="2169"/>
        <w:gridCol w:w="2170"/>
        <w:gridCol w:w="1933"/>
      </w:tblGrid>
      <w:tr w:rsidR="006E63FA">
        <w:tc>
          <w:tcPr>
            <w:tcW w:w="834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1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определения поставщика (подрядчика, исполнителя)</w:t>
            </w:r>
          </w:p>
        </w:tc>
        <w:tc>
          <w:tcPr>
            <w:tcW w:w="216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заключенных контрактов</w:t>
            </w:r>
          </w:p>
        </w:tc>
        <w:tc>
          <w:tcPr>
            <w:tcW w:w="217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заключенных контрактов, руб.</w:t>
            </w:r>
          </w:p>
        </w:tc>
        <w:tc>
          <w:tcPr>
            <w:tcW w:w="1933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Доля,%</w:t>
            </w:r>
            <w:proofErr w:type="gramEnd"/>
          </w:p>
        </w:tc>
      </w:tr>
      <w:tr w:rsidR="006E63FA">
        <w:tc>
          <w:tcPr>
            <w:tcW w:w="834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81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Совместные закупки</w:t>
            </w:r>
          </w:p>
        </w:tc>
        <w:tc>
          <w:tcPr>
            <w:tcW w:w="216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3 785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670 370 641,46</w:t>
            </w:r>
          </w:p>
        </w:tc>
        <w:tc>
          <w:tcPr>
            <w:tcW w:w="193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44,76</w:t>
            </w:r>
          </w:p>
        </w:tc>
      </w:tr>
      <w:tr w:rsidR="006E63FA">
        <w:tc>
          <w:tcPr>
            <w:tcW w:w="834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81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Электронный аукцион</w:t>
            </w:r>
          </w:p>
        </w:tc>
        <w:tc>
          <w:tcPr>
            <w:tcW w:w="216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2 662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6 603 484 434,78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31,48</w:t>
            </w:r>
          </w:p>
        </w:tc>
      </w:tr>
      <w:tr w:rsidR="006E63FA">
        <w:tc>
          <w:tcPr>
            <w:tcW w:w="834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1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 котировок</w:t>
            </w:r>
          </w:p>
        </w:tc>
        <w:tc>
          <w:tcPr>
            <w:tcW w:w="216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1 946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514 379 271,23</w:t>
            </w:r>
          </w:p>
        </w:tc>
        <w:tc>
          <w:tcPr>
            <w:tcW w:w="193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23,01</w:t>
            </w:r>
          </w:p>
        </w:tc>
      </w:tr>
      <w:tr w:rsidR="006E63FA">
        <w:tc>
          <w:tcPr>
            <w:tcW w:w="834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81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конкурс</w:t>
            </w:r>
          </w:p>
        </w:tc>
        <w:tc>
          <w:tcPr>
            <w:tcW w:w="216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3 615 072 589,55</w:t>
            </w:r>
          </w:p>
        </w:tc>
        <w:tc>
          <w:tcPr>
            <w:tcW w:w="193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0,76</w:t>
            </w:r>
          </w:p>
        </w:tc>
      </w:tr>
      <w:tr w:rsidR="006E63FA">
        <w:tc>
          <w:tcPr>
            <w:tcW w:w="3815" w:type="dxa"/>
            <w:gridSpan w:val="2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6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8 457</w:t>
            </w:r>
          </w:p>
        </w:tc>
        <w:tc>
          <w:tcPr>
            <w:tcW w:w="217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11 403 306 937,02</w:t>
            </w:r>
          </w:p>
        </w:tc>
        <w:tc>
          <w:tcPr>
            <w:tcW w:w="1933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E63FA" w:rsidRDefault="006E63FA">
      <w:pPr>
        <w:widowControl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Несостоявшимися в связи с отсутствием заявок участников, а также в связи с отклонением всех поданных заявок участников признано 1 111 закупок с общей суммой НМЦК 2 147 679 849,93 руб., в том числе 3 закупки асфальтобетонной смеси с НМЦК 572 081 851,00 руб. и закупка работ по завершению строительства объекта: «Школа на 1100 мест в микрорайоне Соловьиная роща, г. Смоленск» с НМЦК 565 805 305,2о руб. (в аналогичном периоде 2021 года – 925 закупок на сумму 2 151 250 777,88 руб., из которых 2 закупки битумных материалов с НМЦК 755 060 000,00 руб.). </w:t>
      </w: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Справочно</w:t>
      </w:r>
      <w:proofErr w:type="spellEnd"/>
    </w:p>
    <w:p w:rsidR="006E63FA" w:rsidRDefault="000F2E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9 месяцев 2022 г. </w:t>
      </w:r>
    </w:p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532"/>
        <w:gridCol w:w="1453"/>
        <w:gridCol w:w="1943"/>
        <w:gridCol w:w="1606"/>
        <w:gridCol w:w="1725"/>
      </w:tblGrid>
      <w:tr w:rsidR="006E63FA">
        <w:trPr>
          <w:jc w:val="center"/>
        </w:trPr>
        <w:tc>
          <w:tcPr>
            <w:tcW w:w="936" w:type="dxa"/>
            <w:vMerge w:val="restart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32" w:type="dxa"/>
            <w:vMerge w:val="restart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Способ определения поставщика (исполнителя, подрядчика)</w:t>
            </w:r>
          </w:p>
        </w:tc>
        <w:tc>
          <w:tcPr>
            <w:tcW w:w="3396" w:type="dxa"/>
            <w:gridSpan w:val="2"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Подано «0» заявок</w:t>
            </w:r>
          </w:p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Отклонены все заявки</w:t>
            </w:r>
          </w:p>
        </w:tc>
      </w:tr>
      <w:tr w:rsidR="006E63FA">
        <w:trPr>
          <w:jc w:val="center"/>
        </w:trPr>
        <w:tc>
          <w:tcPr>
            <w:tcW w:w="936" w:type="dxa"/>
            <w:vMerge/>
          </w:tcPr>
          <w:p w:rsidR="006E63FA" w:rsidRDefault="006E63FA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2" w:type="dxa"/>
            <w:vMerge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Кол-во закупок</w:t>
            </w:r>
          </w:p>
        </w:tc>
        <w:tc>
          <w:tcPr>
            <w:tcW w:w="1943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Сумма НМЦК</w:t>
            </w:r>
          </w:p>
        </w:tc>
        <w:tc>
          <w:tcPr>
            <w:tcW w:w="160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Кол-во закупок</w:t>
            </w:r>
          </w:p>
        </w:tc>
        <w:tc>
          <w:tcPr>
            <w:tcW w:w="1725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Сумма НМЦК</w:t>
            </w:r>
          </w:p>
        </w:tc>
      </w:tr>
      <w:tr w:rsidR="006E63FA">
        <w:trPr>
          <w:jc w:val="center"/>
        </w:trPr>
        <w:tc>
          <w:tcPr>
            <w:tcW w:w="936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Совместные закупки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46 718 644,59</w:t>
            </w:r>
          </w:p>
        </w:tc>
        <w:tc>
          <w:tcPr>
            <w:tcW w:w="160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22 399 357,55</w:t>
            </w:r>
          </w:p>
        </w:tc>
      </w:tr>
      <w:tr w:rsidR="006E63FA">
        <w:trPr>
          <w:jc w:val="center"/>
        </w:trPr>
        <w:tc>
          <w:tcPr>
            <w:tcW w:w="936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Другие конкурентные закупки</w:t>
            </w:r>
          </w:p>
        </w:tc>
        <w:tc>
          <w:tcPr>
            <w:tcW w:w="145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19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1 970 940 996,24</w:t>
            </w:r>
          </w:p>
        </w:tc>
        <w:tc>
          <w:tcPr>
            <w:tcW w:w="1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107 620 851,55</w:t>
            </w:r>
          </w:p>
        </w:tc>
      </w:tr>
      <w:tr w:rsidR="006E63FA">
        <w:trPr>
          <w:jc w:val="center"/>
        </w:trPr>
        <w:tc>
          <w:tcPr>
            <w:tcW w:w="3468" w:type="dxa"/>
            <w:gridSpan w:val="2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992</w:t>
            </w:r>
          </w:p>
        </w:tc>
        <w:tc>
          <w:tcPr>
            <w:tcW w:w="19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2 017 659 640,83</w:t>
            </w:r>
          </w:p>
        </w:tc>
        <w:tc>
          <w:tcPr>
            <w:tcW w:w="160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130 020 209,10</w:t>
            </w:r>
          </w:p>
        </w:tc>
      </w:tr>
    </w:tbl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9 месяцев 2021 г. 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532"/>
        <w:gridCol w:w="1453"/>
        <w:gridCol w:w="1943"/>
        <w:gridCol w:w="1606"/>
        <w:gridCol w:w="1725"/>
      </w:tblGrid>
      <w:tr w:rsidR="006E63FA">
        <w:trPr>
          <w:jc w:val="center"/>
        </w:trPr>
        <w:tc>
          <w:tcPr>
            <w:tcW w:w="959" w:type="dxa"/>
            <w:vMerge w:val="restart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Способ определения поставщика (исполнителя, подрядчика)</w:t>
            </w:r>
          </w:p>
        </w:tc>
        <w:tc>
          <w:tcPr>
            <w:tcW w:w="3475" w:type="dxa"/>
            <w:gridSpan w:val="2"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Подано «0» заявок</w:t>
            </w:r>
          </w:p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Отклонены все заявки</w:t>
            </w:r>
          </w:p>
        </w:tc>
      </w:tr>
      <w:tr w:rsidR="006E63FA">
        <w:trPr>
          <w:jc w:val="center"/>
        </w:trPr>
        <w:tc>
          <w:tcPr>
            <w:tcW w:w="959" w:type="dxa"/>
            <w:vMerge/>
          </w:tcPr>
          <w:p w:rsidR="006E63FA" w:rsidRDefault="006E63FA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Кол-во закупок</w:t>
            </w:r>
          </w:p>
        </w:tc>
        <w:tc>
          <w:tcPr>
            <w:tcW w:w="199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Сумма НМЦК</w:t>
            </w:r>
          </w:p>
        </w:tc>
        <w:tc>
          <w:tcPr>
            <w:tcW w:w="163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Кол-во закупок</w:t>
            </w:r>
          </w:p>
        </w:tc>
        <w:tc>
          <w:tcPr>
            <w:tcW w:w="176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Сумма НМЦК</w:t>
            </w:r>
          </w:p>
        </w:tc>
      </w:tr>
      <w:tr w:rsidR="006E63FA">
        <w:trPr>
          <w:jc w:val="center"/>
        </w:trPr>
        <w:tc>
          <w:tcPr>
            <w:tcW w:w="959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Совместные закупки</w:t>
            </w:r>
          </w:p>
        </w:tc>
        <w:tc>
          <w:tcPr>
            <w:tcW w:w="1477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8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12 368 845,72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E63FA">
        <w:trPr>
          <w:jc w:val="center"/>
        </w:trPr>
        <w:tc>
          <w:tcPr>
            <w:tcW w:w="959" w:type="dxa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1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Другие конкурентные закупки</w:t>
            </w:r>
          </w:p>
        </w:tc>
        <w:tc>
          <w:tcPr>
            <w:tcW w:w="1477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998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1 391 437 869,07</w:t>
            </w:r>
          </w:p>
        </w:tc>
        <w:tc>
          <w:tcPr>
            <w:tcW w:w="16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747 444 063,09</w:t>
            </w:r>
          </w:p>
        </w:tc>
      </w:tr>
      <w:tr w:rsidR="006E63FA">
        <w:trPr>
          <w:jc w:val="center"/>
        </w:trPr>
        <w:tc>
          <w:tcPr>
            <w:tcW w:w="3540" w:type="dxa"/>
            <w:gridSpan w:val="2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ИТОГО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1 403 806 714,79</w:t>
            </w:r>
          </w:p>
        </w:tc>
        <w:tc>
          <w:tcPr>
            <w:tcW w:w="163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747 444 063,09</w:t>
            </w:r>
          </w:p>
        </w:tc>
      </w:tr>
    </w:tbl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начальной (максимальной) цене контракта заключено 2 069 контрактов (24,5%) на общую сумму 5 204 445 177,88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руб. (за 9 месяцев 2021 года – 2 185 (28,9%) контрактов на сумму 4 648 750 496,42 руб.)</w:t>
      </w:r>
    </w:p>
    <w:p w:rsidR="006E63FA" w:rsidRDefault="006E63FA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Справочно</w:t>
      </w:r>
      <w:proofErr w:type="spellEnd"/>
    </w:p>
    <w:p w:rsidR="006E63FA" w:rsidRDefault="000F2EF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9 месяцев 2022 г. </w:t>
      </w:r>
    </w:p>
    <w:p w:rsidR="006E63FA" w:rsidRDefault="006E63FA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41"/>
        <w:gridCol w:w="2740"/>
        <w:gridCol w:w="2978"/>
        <w:gridCol w:w="3536"/>
      </w:tblGrid>
      <w:tr w:rsidR="006E63FA">
        <w:tc>
          <w:tcPr>
            <w:tcW w:w="941" w:type="dxa"/>
            <w:vMerge w:val="restart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40" w:type="dxa"/>
            <w:vMerge w:val="restart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Способ определения поставщика (исполнителя, подрядчика)</w:t>
            </w:r>
          </w:p>
        </w:tc>
        <w:tc>
          <w:tcPr>
            <w:tcW w:w="6514" w:type="dxa"/>
            <w:gridSpan w:val="2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Заключение контракта по НМЦК</w:t>
            </w:r>
          </w:p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E63FA">
        <w:tc>
          <w:tcPr>
            <w:tcW w:w="941" w:type="dxa"/>
            <w:vMerge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40" w:type="dxa"/>
            <w:vMerge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Кол-во заключенных контрактов</w:t>
            </w:r>
          </w:p>
        </w:tc>
        <w:tc>
          <w:tcPr>
            <w:tcW w:w="353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НМЦК = Сумме цен заключенных контрактов, руб.</w:t>
            </w:r>
          </w:p>
        </w:tc>
      </w:tr>
      <w:tr w:rsidR="006E63FA">
        <w:tc>
          <w:tcPr>
            <w:tcW w:w="941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0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Совместные закупки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506,00</w:t>
            </w:r>
          </w:p>
        </w:tc>
        <w:tc>
          <w:tcPr>
            <w:tcW w:w="3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225 405 770,07</w:t>
            </w:r>
          </w:p>
        </w:tc>
      </w:tr>
      <w:tr w:rsidR="006E63FA">
        <w:tc>
          <w:tcPr>
            <w:tcW w:w="941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0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Другие конкурентные закупки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1 563,00</w:t>
            </w:r>
          </w:p>
        </w:tc>
        <w:tc>
          <w:tcPr>
            <w:tcW w:w="3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4 979 039 407,81</w:t>
            </w:r>
          </w:p>
        </w:tc>
      </w:tr>
      <w:tr w:rsidR="006E63FA">
        <w:tc>
          <w:tcPr>
            <w:tcW w:w="3681" w:type="dxa"/>
            <w:gridSpan w:val="2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  ИТОГО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2 069,00</w:t>
            </w:r>
          </w:p>
        </w:tc>
        <w:tc>
          <w:tcPr>
            <w:tcW w:w="3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5 204 445 177,88</w:t>
            </w:r>
          </w:p>
        </w:tc>
      </w:tr>
    </w:tbl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 9 месяцев 2021 г.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41"/>
        <w:gridCol w:w="2740"/>
        <w:gridCol w:w="2978"/>
        <w:gridCol w:w="3536"/>
      </w:tblGrid>
      <w:tr w:rsidR="006E63FA">
        <w:tc>
          <w:tcPr>
            <w:tcW w:w="959" w:type="dxa"/>
            <w:vMerge w:val="restart"/>
          </w:tcPr>
          <w:p w:rsidR="006E63FA" w:rsidRDefault="000F2EF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92" w:type="dxa"/>
            <w:vMerge w:val="restart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Способ определения поставщика (исполнителя, подрядчика)</w:t>
            </w:r>
          </w:p>
        </w:tc>
        <w:tc>
          <w:tcPr>
            <w:tcW w:w="6670" w:type="dxa"/>
            <w:gridSpan w:val="2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Заключение контракта по НМЦК</w:t>
            </w:r>
          </w:p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E63FA">
        <w:tc>
          <w:tcPr>
            <w:tcW w:w="959" w:type="dxa"/>
            <w:vMerge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vMerge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043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Кол-во заключенных контрактов</w:t>
            </w:r>
          </w:p>
        </w:tc>
        <w:tc>
          <w:tcPr>
            <w:tcW w:w="362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НМЦК = Сумме цен заключенных контрактов, руб.</w:t>
            </w:r>
          </w:p>
        </w:tc>
      </w:tr>
      <w:tr w:rsidR="006E63FA">
        <w:tc>
          <w:tcPr>
            <w:tcW w:w="959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92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Совместные закупки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665,00</w:t>
            </w:r>
          </w:p>
        </w:tc>
        <w:tc>
          <w:tcPr>
            <w:tcW w:w="36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157 389 041,62</w:t>
            </w:r>
          </w:p>
        </w:tc>
      </w:tr>
      <w:tr w:rsidR="006E63FA">
        <w:tc>
          <w:tcPr>
            <w:tcW w:w="959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92" w:type="dxa"/>
            <w:vAlign w:val="center"/>
          </w:tcPr>
          <w:p w:rsidR="006E63FA" w:rsidRDefault="000F2EFE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Другие конкурентные закупки</w:t>
            </w:r>
          </w:p>
        </w:tc>
        <w:tc>
          <w:tcPr>
            <w:tcW w:w="30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1 520,00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4 491 361 454,80</w:t>
            </w:r>
          </w:p>
        </w:tc>
      </w:tr>
      <w:tr w:rsidR="006E63FA">
        <w:tc>
          <w:tcPr>
            <w:tcW w:w="3751" w:type="dxa"/>
            <w:gridSpan w:val="2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  ИТОГО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2 185,00</w:t>
            </w:r>
          </w:p>
        </w:tc>
        <w:tc>
          <w:tcPr>
            <w:tcW w:w="36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4 648 750 496,42</w:t>
            </w:r>
          </w:p>
        </w:tc>
      </w:tr>
    </w:tbl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Разница между суммой начальных (максимальных) цен контрактов и суммой цен заключенных контрактов (тендерная экономия) составила 566 966 502,14 руб.  или 4,74% (в аналогичном периоде 2021 года – 715 545 073,58 руб. или 7,61 %). При этом экономия в размере 40 млн. руб. (7% от общей суммы экономии) сложилась в результате торгов при проведении совместных процедур закупок.</w:t>
      </w: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Справочно</w:t>
      </w:r>
      <w:proofErr w:type="spellEnd"/>
    </w:p>
    <w:p w:rsidR="006E63FA" w:rsidRDefault="000F2E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9 месяцев 2022 г. </w:t>
      </w:r>
    </w:p>
    <w:tbl>
      <w:tblPr>
        <w:tblStyle w:val="53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2049"/>
        <w:gridCol w:w="2126"/>
        <w:gridCol w:w="1985"/>
        <w:gridCol w:w="1701"/>
        <w:gridCol w:w="1417"/>
      </w:tblGrid>
      <w:tr w:rsidR="006E63FA">
        <w:tc>
          <w:tcPr>
            <w:tcW w:w="957" w:type="dxa"/>
            <w:vMerge w:val="restart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278" w:type="dxa"/>
            <w:gridSpan w:val="5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Среднее снижение НМЦК на торгах в зависимости от способа закупки</w:t>
            </w:r>
          </w:p>
        </w:tc>
      </w:tr>
      <w:tr w:rsidR="006E63FA">
        <w:tc>
          <w:tcPr>
            <w:tcW w:w="957" w:type="dxa"/>
            <w:vMerge/>
            <w:vAlign w:val="center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 определения поставщика (подрядчика, исполнителя)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НМЦК, руб.</w:t>
            </w:r>
          </w:p>
        </w:tc>
        <w:tc>
          <w:tcPr>
            <w:tcW w:w="1985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заключенных контрактов, руб.</w:t>
            </w:r>
          </w:p>
        </w:tc>
        <w:tc>
          <w:tcPr>
            <w:tcW w:w="1701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Экономия, руб.</w:t>
            </w:r>
          </w:p>
        </w:tc>
        <w:tc>
          <w:tcPr>
            <w:tcW w:w="141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Экономия,%</w:t>
            </w:r>
            <w:proofErr w:type="gramEnd"/>
          </w:p>
        </w:tc>
      </w:tr>
      <w:tr w:rsidR="006E63FA">
        <w:tc>
          <w:tcPr>
            <w:tcW w:w="95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4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Совместные закупки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710 420 302,30</w:t>
            </w:r>
          </w:p>
        </w:tc>
        <w:tc>
          <w:tcPr>
            <w:tcW w:w="1985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670 370 641,46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40 049 660,84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</w:tr>
      <w:tr w:rsidR="006E63FA">
        <w:tc>
          <w:tcPr>
            <w:tcW w:w="95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4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Электронный аукцион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6 917 041 780,86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6 603 484 434,78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313 557 346,08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4,53</w:t>
            </w:r>
          </w:p>
        </w:tc>
      </w:tr>
      <w:tr w:rsidR="006E63FA">
        <w:tc>
          <w:tcPr>
            <w:tcW w:w="95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4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 котировок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584 523 441,17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514 379 271,23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70 144 169,94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E63FA">
        <w:tc>
          <w:tcPr>
            <w:tcW w:w="95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4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конкурс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3 758 287 914,83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3 615 072 589,55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143 215 325,28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</w:tr>
      <w:tr w:rsidR="006E63FA">
        <w:tc>
          <w:tcPr>
            <w:tcW w:w="3006" w:type="dxa"/>
            <w:gridSpan w:val="2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11 970 273 439,16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11 403 306 937,02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566 966 502,14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4,74</w:t>
            </w:r>
          </w:p>
        </w:tc>
      </w:tr>
    </w:tbl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6E63FA">
      <w:pPr>
        <w:spacing w:after="0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0F2E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83020" cy="2786380"/>
                <wp:effectExtent l="0" t="0" r="0" b="0"/>
                <wp:docPr id="6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83020" cy="278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502.6pt;height:219.4pt;" stroked="false">
                <v:path textboxrect="0,0,0,0"/>
                <v:imagedata r:id="rId17" o:title=""/>
              </v:shape>
            </w:pict>
          </mc:Fallback>
        </mc:AlternateContent>
      </w:r>
    </w:p>
    <w:p w:rsidR="006E63FA" w:rsidRDefault="000F2EF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Рис.6. Среднее снижение НМЦК на торгах в зависимости от способа закупки</w:t>
      </w:r>
    </w:p>
    <w:p w:rsidR="006E63FA" w:rsidRDefault="006E63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63FA" w:rsidRDefault="000F2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Закупки у субъектов малого предпринимательства, социально ориентированных некоммерческих организаций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Доля закупок у субъектов малого предпринимательства, социально ориентированных некоммерческих организаций, рассчитанная в соответствии с частью 1.1. статьи 30 Федерального закона «О контрактной системе в сфере закупок товаров, работ, услуг для обеспечения государственных и муниципальных нужд» за 9 месяцев 2022 года составила 51,46% (в аналогичном периоде 2021 года – 57,93%), что значительно превышает требуемых в соответствии с законодательством объем таких закупок (25% от совокупного годового объема закупок).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методикой Агентства стратегических инициатив по продвижению новых проектов доля закупок у СМП по итогам областных закупок за 9 месяцев 2022 года составила 64,62% (в аналогичном периоде 2021 года – 77,24%).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отчетном периоде с субъектами малого предпринимательства заключено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7 106 контрактов (в аналогичном периоде 2021 года – 5 605 контрактов). При этом большая часть – 4 460 контрактов (63%) заключено с предпринимателями Смоленской области (за 9 месяцев 2021 г. - 3 425 контрактов (61%).</w:t>
      </w:r>
    </w:p>
    <w:p w:rsidR="006E63FA" w:rsidRDefault="006E63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Совместные закупки</w:t>
      </w:r>
    </w:p>
    <w:p w:rsidR="006E63FA" w:rsidRDefault="006E63F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 9 месяцев 2022 году Главным управлением организовано и проведено 270 совместных электронных аукционов с общей суммой НМЦК 780,47 млн. руб., в рамках которых объединены 4 234 индивидуальных заявок заказчиков (в аналогичном периоде 2021 года 3 454 индивидуальных заявок объединены в 203 совместных аукциона).</w: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Справочно</w:t>
      </w:r>
      <w:proofErr w:type="spellEnd"/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00400" cy="2499360"/>
                <wp:effectExtent l="0" t="0" r="0" b="0"/>
                <wp:docPr id="7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200400" cy="2499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52.0pt;height:196.8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00400" cy="2493645"/>
                <wp:effectExtent l="0" t="0" r="0" b="1905"/>
                <wp:docPr id="8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200400" cy="2493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52.0pt;height:196.3pt;" stroked="false">
                <v:path textboxrect="0,0,0,0"/>
                <v:imagedata r:id="rId21" o:title=""/>
              </v:shape>
            </w:pict>
          </mc:Fallback>
        </mc:AlternateConten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совместных закупок 362 товарные позиции объединены в 13 групп, в числе которых продукты питания, учебное оборудование, средства индивидуальной защиты, офисная бумага и др. </w: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80175" cy="3460645"/>
            <wp:effectExtent l="0" t="0" r="0" b="6985"/>
            <wp:docPr id="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E63FA" w:rsidRDefault="006E63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результатам совместных торгов заключено 3 785 контрактов на общую сумму 670 млн. руб. (около 45% от общего количества заключенных контрактов).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Среднее количество поданных заявок участников в отчетном периоде – 2,64 (в аналогичном периоде 2021 года – 4,01).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результате торгов при проведении совместных процедур закупок экономия составила 40 млн. руб. (7 % от общей суммы экономии по закупкам).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Среднее снижение НМЦК на совместных торгах составило 5,64% (в аналогичном периоде 2021 года – 8,63%).</w:t>
      </w:r>
    </w:p>
    <w:p w:rsidR="006E63FA" w:rsidRDefault="006E63FA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Справочно</w:t>
      </w:r>
      <w:proofErr w:type="spellEnd"/>
    </w:p>
    <w:p w:rsidR="006E63FA" w:rsidRDefault="000F2EF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725749">
        <w:rPr>
          <w:rFonts w:ascii="Times New Roman" w:hAnsi="Times New Roman" w:cs="Times New Roman"/>
          <w:sz w:val="28"/>
          <w:szCs w:val="28"/>
        </w:rPr>
        <w:instrText xml:space="preserve">Excel.Sheet.12 "C:\\Users\\Nikolaeva_EV\\Desktop\\2022\\Отчет за 9 месяцев 2022\\Отчёт№118775 в работе.xlsx" "позиции СТ!R1C1:R14C11" </w:instrText>
      </w:r>
      <w:r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f1"/>
        <w:tblW w:w="10343" w:type="dxa"/>
        <w:tblLook w:val="04A0" w:firstRow="1" w:lastRow="0" w:firstColumn="1" w:lastColumn="0" w:noHBand="0" w:noVBand="1"/>
      </w:tblPr>
      <w:tblGrid>
        <w:gridCol w:w="960"/>
        <w:gridCol w:w="4847"/>
        <w:gridCol w:w="2410"/>
        <w:gridCol w:w="2126"/>
      </w:tblGrid>
      <w:tr w:rsidR="006E63FA">
        <w:trPr>
          <w:trHeight w:val="6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товарной позиции</w:t>
            </w:r>
          </w:p>
        </w:tc>
        <w:tc>
          <w:tcPr>
            <w:tcW w:w="241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Экономия, %</w:t>
            </w:r>
          </w:p>
        </w:tc>
        <w:tc>
          <w:tcPr>
            <w:tcW w:w="2126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Среднее количество поданных заявок участников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Чистящие и моющие средства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40,54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медицинского назначения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36,86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35,61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6,21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из бумаги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Офисная бумага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7" w:type="dxa"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оборудование 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6E63FA">
        <w:trPr>
          <w:trHeight w:val="300"/>
        </w:trPr>
        <w:tc>
          <w:tcPr>
            <w:tcW w:w="960" w:type="dxa"/>
            <w:noWrap/>
          </w:tcPr>
          <w:p w:rsidR="006E63FA" w:rsidRDefault="006E6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noWrap/>
          </w:tcPr>
          <w:p w:rsidR="006E63FA" w:rsidRDefault="000F2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10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5,64</w:t>
            </w:r>
          </w:p>
        </w:tc>
        <w:tc>
          <w:tcPr>
            <w:tcW w:w="2126" w:type="dxa"/>
            <w:noWrap/>
            <w:vAlign w:val="bottom"/>
          </w:tcPr>
          <w:p w:rsidR="006E63FA" w:rsidRDefault="000F2EF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2,64</w:t>
            </w:r>
          </w:p>
        </w:tc>
      </w:tr>
    </w:tbl>
    <w:p w:rsidR="006E63FA" w:rsidRDefault="000F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E63FA" w:rsidRDefault="006E6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Закупки у единственного поставщика, предусмотренные</w:t>
      </w: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пунктами 4 и 5 части 1 статьи 93 Федерального закона</w:t>
      </w:r>
    </w:p>
    <w:p w:rsidR="006E63FA" w:rsidRDefault="006E6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Закупки у единственного поставщика, предусмотренные пунктами 4 и 5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нужд», осуществляются в соответствии с распоряжением Администрации Смоленской области от 31.01.2018 № 90-р/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адм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конкурентной основе в модуле «Малые закупки Смоленской области» региональной автоматизированной информационной системы государственных закупок Смоленской области.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Общее количество зарегистрированных в модуле предпринимателей – 6 111, из которых 2 788 (45,6%) являются предприятиями смоленского региона.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 9 месяцев 2022 года в модуле опубликовано 9 280 извещений о малой закупке (в аналогичном периоде 2021 года – 7 900 извещений) на общую сумму 826 млн. руб.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По результатам малых закупок заключено 7 962 контрактов на общую сумму 635,3 млн. руб. Таким образом, экономия бюджетных средств составила 103,8 млн. руб. или 14,04% (в 2021 году – 77 млн. руб. или 14,84%)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Среднее количество заявок, поданных для участия в малых закупках, составило 2,01 (за 9 месяцев 2022 года – 2,05). </w:t>
      </w: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Справочно</w:t>
      </w:r>
      <w:proofErr w:type="spellEnd"/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 9 месяцев 2022 г.</w:t>
      </w:r>
    </w:p>
    <w:tbl>
      <w:tblPr>
        <w:tblStyle w:val="6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0"/>
        <w:gridCol w:w="1418"/>
        <w:gridCol w:w="1417"/>
        <w:gridCol w:w="1418"/>
        <w:gridCol w:w="1134"/>
        <w:gridCol w:w="1134"/>
        <w:gridCol w:w="992"/>
      </w:tblGrid>
      <w:tr w:rsidR="006E63FA">
        <w:tc>
          <w:tcPr>
            <w:tcW w:w="568" w:type="dxa"/>
            <w:vMerge w:val="restart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922" w:type="dxa"/>
            <w:gridSpan w:val="8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Малые закупки</w:t>
            </w:r>
          </w:p>
        </w:tc>
      </w:tr>
      <w:tr w:rsidR="006E63FA">
        <w:tc>
          <w:tcPr>
            <w:tcW w:w="568" w:type="dxa"/>
            <w:vMerge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Малые закупки</w:t>
            </w:r>
          </w:p>
        </w:tc>
        <w:tc>
          <w:tcPr>
            <w:tcW w:w="85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Сумма НМЦК, </w:t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млн. руб.</w:t>
            </w:r>
          </w:p>
        </w:tc>
        <w:tc>
          <w:tcPr>
            <w:tcW w:w="141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объявленных закупок</w:t>
            </w:r>
          </w:p>
        </w:tc>
        <w:tc>
          <w:tcPr>
            <w:tcW w:w="1417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Сумма цен заключенных контрактов,  </w:t>
            </w:r>
          </w:p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млн. руб.</w:t>
            </w:r>
          </w:p>
        </w:tc>
        <w:tc>
          <w:tcPr>
            <w:tcW w:w="141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заключенных контрактов</w:t>
            </w:r>
          </w:p>
        </w:tc>
        <w:tc>
          <w:tcPr>
            <w:tcW w:w="1134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Экономия, млн. руб.</w:t>
            </w:r>
          </w:p>
        </w:tc>
        <w:tc>
          <w:tcPr>
            <w:tcW w:w="1134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поданных заявок</w:t>
            </w:r>
          </w:p>
        </w:tc>
        <w:tc>
          <w:tcPr>
            <w:tcW w:w="992" w:type="dxa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кол-во заявок</w:t>
            </w:r>
          </w:p>
        </w:tc>
      </w:tr>
      <w:tr w:rsidR="006E63FA">
        <w:tc>
          <w:tcPr>
            <w:tcW w:w="568" w:type="dxa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Состоявшиеся</w:t>
            </w:r>
          </w:p>
          <w:p w:rsidR="006E63FA" w:rsidRDefault="006E63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739,090</w:t>
            </w:r>
          </w:p>
        </w:tc>
        <w:tc>
          <w:tcPr>
            <w:tcW w:w="141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7 962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635, 287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7 962</w:t>
            </w:r>
          </w:p>
        </w:tc>
        <w:tc>
          <w:tcPr>
            <w:tcW w:w="1134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18 461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</w:tr>
      <w:tr w:rsidR="006E63FA">
        <w:tc>
          <w:tcPr>
            <w:tcW w:w="568" w:type="dxa"/>
          </w:tcPr>
          <w:p w:rsidR="006E63FA" w:rsidRDefault="006E63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Несостоявшиеся</w:t>
            </w:r>
          </w:p>
        </w:tc>
        <w:tc>
          <w:tcPr>
            <w:tcW w:w="85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86,949</w:t>
            </w:r>
          </w:p>
        </w:tc>
        <w:tc>
          <w:tcPr>
            <w:tcW w:w="141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1 318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6E63FA">
        <w:tc>
          <w:tcPr>
            <w:tcW w:w="2127" w:type="dxa"/>
            <w:gridSpan w:val="2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826,039</w:t>
            </w:r>
          </w:p>
        </w:tc>
        <w:tc>
          <w:tcPr>
            <w:tcW w:w="1418" w:type="dxa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9 280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635,287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7 962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18 682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2,01</w:t>
            </w:r>
          </w:p>
        </w:tc>
      </w:tr>
    </w:tbl>
    <w:p w:rsidR="006E63FA" w:rsidRDefault="006E63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Без размещения извещения в модуле заключено 53 123 контрактов с единственным поставщиком (подрядчиком, исполнителем) на общую сумму 521,170 млн. руб., в том числе: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- 41 235 контрактов (78%) на сумму 89 млн. руб. - закупки товаров, работ, услуг на сумму, не превышающую три тысячи рублей (пункт 1 Перечня исключений);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- 1 597 контрактов (3%) на общую сумму 45 млн. руб. - закупка услуг, связанных с обучением, участием в семинарах, форумах, мероприятиях, конференциях, проведением социальных исследований и т.п. (пункт 4 Перечня исключений);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- 1 523 контракта (2,9%) на общую сумму 23,4 млн. руб. - закупка работ (услуг), выполняемых (оказываемых) физическим лицом, на сумму, не превышающую тридцати тысяч рублей» (пункт 28 Перечня исключений).</w:t>
      </w:r>
    </w:p>
    <w:p w:rsidR="006E63FA" w:rsidRDefault="006E63FA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6E63FA" w:rsidRDefault="000F2EF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Справочно</w:t>
      </w:r>
      <w:proofErr w:type="spellEnd"/>
    </w:p>
    <w:p w:rsidR="006E63FA" w:rsidRDefault="006E63FA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1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6095"/>
        <w:gridCol w:w="1418"/>
        <w:gridCol w:w="1559"/>
      </w:tblGrid>
      <w:tr w:rsidR="006E63FA">
        <w:tc>
          <w:tcPr>
            <w:tcW w:w="1413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Доля заключенных контрактов, %</w:t>
            </w:r>
          </w:p>
        </w:tc>
        <w:tc>
          <w:tcPr>
            <w:tcW w:w="6095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пункта Перечня исключений</w:t>
            </w:r>
          </w:p>
        </w:tc>
        <w:tc>
          <w:tcPr>
            <w:tcW w:w="1418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заключенных контрактов</w:t>
            </w:r>
          </w:p>
        </w:tc>
        <w:tc>
          <w:tcPr>
            <w:tcW w:w="1559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заключенных контрактов, руб.</w:t>
            </w:r>
          </w:p>
        </w:tc>
      </w:tr>
      <w:tr w:rsidR="006E63FA">
        <w:trPr>
          <w:trHeight w:val="272"/>
        </w:trPr>
        <w:tc>
          <w:tcPr>
            <w:tcW w:w="1413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6095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П.1 Товары, работы, услуги на сумму, не превышающую три тысячи рублей</w:t>
            </w:r>
          </w:p>
        </w:tc>
        <w:tc>
          <w:tcPr>
            <w:tcW w:w="1418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41 235</w:t>
            </w:r>
          </w:p>
        </w:tc>
        <w:tc>
          <w:tcPr>
            <w:tcW w:w="1559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89 387 649,98</w:t>
            </w:r>
          </w:p>
        </w:tc>
      </w:tr>
      <w:tr w:rsidR="006E63FA">
        <w:tc>
          <w:tcPr>
            <w:tcW w:w="1413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95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9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П.4 Услуги, связанные с обучением, участием в семинарах, форумах, мероприятиях, конференциях, проведением социальных исследований и т.п.</w:t>
            </w:r>
          </w:p>
        </w:tc>
        <w:tc>
          <w:tcPr>
            <w:tcW w:w="1418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1 597</w:t>
            </w:r>
          </w:p>
        </w:tc>
        <w:tc>
          <w:tcPr>
            <w:tcW w:w="1559" w:type="dxa"/>
          </w:tcPr>
          <w:p w:rsidR="006E63FA" w:rsidRDefault="000F2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45 070924,56</w:t>
            </w:r>
          </w:p>
        </w:tc>
      </w:tr>
      <w:tr w:rsidR="006E63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609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FA" w:rsidRDefault="000F2E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28 Работы (услуги), выполняемые (оказываемые) физическим лицом, на сумму, не превышающую 30 тысяч рублей.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1 523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23 401 351,93</w:t>
            </w:r>
          </w:p>
        </w:tc>
      </w:tr>
      <w:tr w:rsidR="006E63FA">
        <w:tc>
          <w:tcPr>
            <w:tcW w:w="1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609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FA" w:rsidRDefault="000F2E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5 Закупка определенных товаров, работ, услуг, обусловленная дорожно-транспортным происшествием, поломкой, препятствующей дальнейшей эксплуатации автотранспортного средства.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1 346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32 077 136,86</w:t>
            </w:r>
          </w:p>
        </w:tc>
      </w:tr>
      <w:tr w:rsidR="006E63FA">
        <w:tc>
          <w:tcPr>
            <w:tcW w:w="1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09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FA" w:rsidRDefault="000F2E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8 Услуги по доработке, сопровождению, обновлению специализированного Интернет-портала "Инвестиционная деятельность в Смоленской области", официального Интернет-портала Администрации Смоленской области, системы типовых сайтов Администрации Смоленской области, а также специализированных информационных, справочно-правовых, 5бухгалтерских, управленческих, экономических и других систем, установленных у заказчика.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1 131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32 941 947,79</w:t>
            </w:r>
          </w:p>
        </w:tc>
      </w:tr>
      <w:tr w:rsidR="006E63FA">
        <w:tc>
          <w:tcPr>
            <w:tcW w:w="1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1,9</w:t>
            </w:r>
          </w:p>
        </w:tc>
        <w:tc>
          <w:tcPr>
            <w:tcW w:w="609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FA" w:rsidRDefault="000F2E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15 Товары, работы и услуги, непосредственно связанные с обеспечением выполнения мероприятий по предупреждению и тушению пожаров (в том числе лесных), предупреждению и ликвидации последствий аварий, стихийных бедствий, чрезвычайных ситуаций (в том числе вызванных лесными пожарами), а также с обеспечением выполнения аварийно-спасательных работ.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1 017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3FA" w:rsidRDefault="000F2E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47 351 315,72</w:t>
            </w:r>
          </w:p>
        </w:tc>
      </w:tr>
    </w:tbl>
    <w:p w:rsidR="006E63FA" w:rsidRDefault="006E63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Показатели работы Межведомственной комиссии</w:t>
      </w:r>
    </w:p>
    <w:p w:rsidR="006E63FA" w:rsidRDefault="000F2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повышению эффективности использования бюджетных средств при осуществлении закупок товаров, работ, услуг для обеспечения государственных нужд Смоленской области</w:t>
      </w:r>
    </w:p>
    <w:p w:rsidR="006E63FA" w:rsidRDefault="006E63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3FA" w:rsidRDefault="000F2EF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отчетном периоде Межведомственной комиссией </w:t>
      </w:r>
      <w:r>
        <w:rPr>
          <w:rFonts w:ascii="Times New Roman" w:hAnsi="Times New Roman" w:cs="Times New Roman"/>
          <w:sz w:val="28"/>
          <w:szCs w:val="28"/>
        </w:rPr>
        <w:t>по повышению эффективности использования бюджетных средств при осуществлении закупок товаров, работ, услуг для обеспечения государственных нужд Смоленской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рассмотрено 65 документаций о закупках на общую сумму 6 млрд. 025 млн. руб.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отношении 48 документаций выданы рекомендации об устранении различных нарушений, в том числе допущенных при обосновании начальной цены контракта. В результате устранения замечаний комиссии начальная цена контрактов была снижена на сумму более 184,288 млн. рублей, </w:t>
      </w:r>
      <w:r>
        <w:rPr>
          <w:rFonts w:ascii="Times New Roman" w:hAnsi="Times New Roman" w:cs="Times New Roman"/>
          <w:sz w:val="28"/>
          <w:szCs w:val="28"/>
        </w:rPr>
        <w:t xml:space="preserve">что практически в шесть раз больше, чем в аналогичном периоде 2021 года. </w:t>
      </w:r>
    </w:p>
    <w:p w:rsidR="006E63FA" w:rsidRDefault="006E63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63FA" w:rsidRDefault="000F2E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Методологическое сопровождение деятельности заказчиков</w:t>
      </w:r>
    </w:p>
    <w:p w:rsidR="006E63FA" w:rsidRDefault="006E63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3FA" w:rsidRDefault="000F2EF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Главным управлением подготовлено девять информационно-методических писем заказчикам по вопросам применения законодательства о контрактной системе в сфере закупок с учетом принятых изменений в отдельные правовые акты Правительства Российской Федерации, применения типовых условий контрактов, а также работы заказчиков в автоматизированной информационной системе государственных закупок Смоленской области.</w:t>
      </w:r>
    </w:p>
    <w:p w:rsidR="006E63FA" w:rsidRDefault="006E63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3FA" w:rsidRDefault="000F2E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Обжалование действий Главного управления и заказчиков</w:t>
      </w:r>
    </w:p>
    <w:p w:rsidR="006E63FA" w:rsidRDefault="006E63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FA" w:rsidRDefault="000F2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 Смоленским УФАС России рассмотрено 52 жалобы участников закупок, из которых:</w:t>
      </w:r>
    </w:p>
    <w:p w:rsidR="006E63FA" w:rsidRDefault="000F2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41 жалоба признана необоснованной (17 жалоб на положения извещения об осуществлении закупки, 24 жалобы на действия комиссии);</w:t>
      </w:r>
    </w:p>
    <w:p w:rsidR="006E63FA" w:rsidRDefault="000F2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- 11 жалоб признаны обоснованными (4 жалобы на положения извещения об осуществлении закупки, 7 жалоб на действия комиссии), что составляет 0,18% от общего количества проведенных процедур закупок.</w:t>
      </w:r>
    </w:p>
    <w:p w:rsidR="006E63FA" w:rsidRPr="008D25D1" w:rsidRDefault="000F2EFE" w:rsidP="008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жалоб участников закупок Смоленским УФАС России проведено 14 внеплановых проверок, по результатам которых выдано 1 предписание</w:t>
      </w:r>
      <w:r>
        <w:t>.</w:t>
      </w:r>
    </w:p>
    <w:p w:rsidR="006E63FA" w:rsidRDefault="000F2E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4"/>
        </w:rPr>
        <w:t>. Результаты оценки информации об осуществлении закупок</w:t>
      </w:r>
    </w:p>
    <w:p w:rsidR="006E63FA" w:rsidRDefault="006E63FA">
      <w:pPr>
        <w:spacing w:after="0"/>
        <w:jc w:val="center"/>
        <w:rPr>
          <w:rFonts w:ascii="Times New Roman" w:hAnsi="Times New Roman" w:cs="Times New Roman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В отчетном периоде по сравнению с аналогичным периодом прошлого года сохраняется тенденция увеличения количества размещенных извещений об осуществлении закупок (на 4,4%) при одновременном увеличении их стоимостного объема (на 2,1%).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Наблюдается уменьшение (на 28%) количества закупок, проводимых в форме электронного аукциона, при одновременном снижении их стоимостного объема (на 10%). При этом электронный аукцион по-прежнему остается наиболее распространенным конкурентным способом определения поставщика (подрядчика, исполнителя). Но стоит отметить, что увеличилось количество и стоимостной объем закупок, проводимых в форме совместного аукциона в электронной форме (на 24,8% и на 18,6% соответственно).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Отмечается тенденция увеличения количества закупок, проводимых в форме открытых конкурсов в электронной форме (далее – электронный конкурс) (на 70%) и запросов котировок в электронной форме (далее – электронный запрос котировок) (в 2,5 раза). При этом стоимостной объем закупок, проводимых в форме электронного конкурса, увеличился на 98,7%, в форме электронного запроса котировок – в 6 раз.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Кроме того, в отчетном периоде закупки проводимые в форме запроса предложений и открытого конкурса с ограниченным участием заказчиками не осуществлялись. Указанное обусловлено вступившими в силу с 1 января 2022 г. новациями Федерального закона от 2 июля 2021 года № 360-ФЗ «О внесении изменений в отдельные законодательные акты Российской Федерации», а также принятыми весной 2022 года мерами, направленными на совершенствование порядка их проведения и на расширение возможностей применения указанных способов. 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Наблюдается уменьшение количества закупок, заключенных по начальной (максимальной) цене контракта на 5,3%.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Сохраняется также и соотношение причин признания определений поставщика (подрядчика, исполнителя) несостоявшимися: наиболее распространенной причиной остается отсутствие поданных заявок на участие в закупке, наименее распространенной – признание заказчиком всех поданных заявок на участие в закупке не соответствующими требованиям извещения об осуществлении закупки.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этом стоит отметить, что количественная доля несостоявшихся закупок (от количества всех конкурентных способов определения поставщика) в отчетном периоде (18%) по сравнению с аналогичным периодом прошлого года (16%) не претерпела особых изменений.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Сохраняется тенденция увеличения количества контрактов, заключенных по результатам осуществления закупок (в пределах 11%), при одновременном существенном увеличении их стоимостного объема (на 23,8%).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Также наблюдается увеличение количества закупок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 субъектами малого предпринимательства (на 21%)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при одновременном увеличении таких закупок с предпринимателями Смоленской области (на 23,2%).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4"/>
        </w:rPr>
        <w:t>Отмечается рост заключенных контрактов по результатам совместных аукционов в электронной форме (на 18%) при одновременном увеличении их стоимостного объема (на 19%).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Закупки у единственного поставщика, осуществляемые на конкурентной основе в модуле «Малые закупки Смоленской области», показали свою эффективность в отчетном периоде.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Экономия бюджетных средств по результатам данных закупок возросла на 25,8%. </w:t>
      </w:r>
      <w:r>
        <w:rPr>
          <w:rFonts w:ascii="Times New Roman" w:hAnsi="Times New Roman" w:cs="Times New Roman"/>
          <w:sz w:val="28"/>
          <w:szCs w:val="24"/>
        </w:rPr>
        <w:t>При этом стоит отметить, что среднее количество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заявок, поданных для участия в малых закупках</w:t>
      </w:r>
      <w:r>
        <w:rPr>
          <w:rFonts w:ascii="Times New Roman" w:hAnsi="Times New Roman" w:cs="Times New Roman"/>
          <w:sz w:val="28"/>
          <w:szCs w:val="24"/>
        </w:rPr>
        <w:t xml:space="preserve"> в отчетном периоде по сравнению с аналогичным периодом 2021 года не претерпела изменений и составила 2.</w:t>
      </w: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выше сказанное свидетельствует о стабильном функционировании контрактной системы в сфере закупок в Смоленской области в условиях внешнего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давления.</w:t>
      </w:r>
    </w:p>
    <w:p w:rsidR="006E63FA" w:rsidRDefault="006E63F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E63FA" w:rsidRDefault="000F2E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6E63FA">
      <w:headerReference w:type="default" r:id="rId23"/>
      <w:pgSz w:w="11906" w:h="16838"/>
      <w:pgMar w:top="992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DA" w:rsidRDefault="006B58DA">
      <w:pPr>
        <w:spacing w:after="0" w:line="240" w:lineRule="auto"/>
      </w:pPr>
      <w:r>
        <w:separator/>
      </w:r>
    </w:p>
  </w:endnote>
  <w:endnote w:type="continuationSeparator" w:id="0">
    <w:p w:rsidR="006B58DA" w:rsidRDefault="006B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DA" w:rsidRDefault="006B58DA">
      <w:pPr>
        <w:spacing w:after="0" w:line="240" w:lineRule="auto"/>
      </w:pPr>
      <w:r>
        <w:separator/>
      </w:r>
    </w:p>
  </w:footnote>
  <w:footnote w:type="continuationSeparator" w:id="0">
    <w:p w:rsidR="006B58DA" w:rsidRDefault="006B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162988"/>
      <w:docPartObj>
        <w:docPartGallery w:val="Page Numbers (Top of Page)"/>
        <w:docPartUnique/>
      </w:docPartObj>
    </w:sdtPr>
    <w:sdtEndPr/>
    <w:sdtContent>
      <w:p w:rsidR="00DB3EC4" w:rsidRDefault="00DB3EC4">
        <w:pPr>
          <w:pStyle w:val="af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25749"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B3EC4" w:rsidRDefault="00DB3EC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80F89"/>
    <w:multiLevelType w:val="hybridMultilevel"/>
    <w:tmpl w:val="4D50617A"/>
    <w:lvl w:ilvl="0" w:tplc="E1AC44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4A1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ABC5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1E25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45054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F44B1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59ACD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F3AD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D0AC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73845B40"/>
    <w:multiLevelType w:val="hybridMultilevel"/>
    <w:tmpl w:val="FB9C5704"/>
    <w:lvl w:ilvl="0" w:tplc="AFE8E962">
      <w:start w:val="1"/>
      <w:numFmt w:val="decimal"/>
      <w:lvlText w:val="%1."/>
      <w:lvlJc w:val="left"/>
    </w:lvl>
    <w:lvl w:ilvl="1" w:tplc="1B249D68">
      <w:start w:val="1"/>
      <w:numFmt w:val="lowerLetter"/>
      <w:lvlText w:val="%2."/>
      <w:lvlJc w:val="left"/>
      <w:pPr>
        <w:ind w:left="1440" w:hanging="360"/>
      </w:pPr>
    </w:lvl>
    <w:lvl w:ilvl="2" w:tplc="2250C836">
      <w:start w:val="1"/>
      <w:numFmt w:val="lowerRoman"/>
      <w:lvlText w:val="%3."/>
      <w:lvlJc w:val="right"/>
      <w:pPr>
        <w:ind w:left="2160" w:hanging="180"/>
      </w:pPr>
    </w:lvl>
    <w:lvl w:ilvl="3" w:tplc="349E1DD4">
      <w:start w:val="1"/>
      <w:numFmt w:val="decimal"/>
      <w:lvlText w:val="%4."/>
      <w:lvlJc w:val="left"/>
      <w:pPr>
        <w:ind w:left="2880" w:hanging="360"/>
      </w:pPr>
    </w:lvl>
    <w:lvl w:ilvl="4" w:tplc="9BB4F800">
      <w:start w:val="1"/>
      <w:numFmt w:val="lowerLetter"/>
      <w:lvlText w:val="%5."/>
      <w:lvlJc w:val="left"/>
      <w:pPr>
        <w:ind w:left="3600" w:hanging="360"/>
      </w:pPr>
    </w:lvl>
    <w:lvl w:ilvl="5" w:tplc="BF3856AA">
      <w:start w:val="1"/>
      <w:numFmt w:val="lowerRoman"/>
      <w:lvlText w:val="%6."/>
      <w:lvlJc w:val="right"/>
      <w:pPr>
        <w:ind w:left="4320" w:hanging="180"/>
      </w:pPr>
    </w:lvl>
    <w:lvl w:ilvl="6" w:tplc="3E0A840C">
      <w:start w:val="1"/>
      <w:numFmt w:val="decimal"/>
      <w:lvlText w:val="%7."/>
      <w:lvlJc w:val="left"/>
      <w:pPr>
        <w:ind w:left="5040" w:hanging="360"/>
      </w:pPr>
    </w:lvl>
    <w:lvl w:ilvl="7" w:tplc="2DCAEBEC">
      <w:start w:val="1"/>
      <w:numFmt w:val="lowerLetter"/>
      <w:lvlText w:val="%8."/>
      <w:lvlJc w:val="left"/>
      <w:pPr>
        <w:ind w:left="5760" w:hanging="360"/>
      </w:pPr>
    </w:lvl>
    <w:lvl w:ilvl="8" w:tplc="3C9ED3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534EB"/>
    <w:multiLevelType w:val="hybridMultilevel"/>
    <w:tmpl w:val="C798BA76"/>
    <w:lvl w:ilvl="0" w:tplc="CDEC92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F6B3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C2F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15E5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F187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BA0E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FE0A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2DC8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9C494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A"/>
    <w:rsid w:val="000F2EFE"/>
    <w:rsid w:val="00153117"/>
    <w:rsid w:val="002F3A93"/>
    <w:rsid w:val="00432F6C"/>
    <w:rsid w:val="00664870"/>
    <w:rsid w:val="006B58DA"/>
    <w:rsid w:val="006E63FA"/>
    <w:rsid w:val="00725749"/>
    <w:rsid w:val="008D25D1"/>
    <w:rsid w:val="00A1451A"/>
    <w:rsid w:val="00B27819"/>
    <w:rsid w:val="00B606A1"/>
    <w:rsid w:val="00CD73AB"/>
    <w:rsid w:val="00DB3EC4"/>
    <w:rsid w:val="00E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DF4B-58C8-47CF-BC50-E75F843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50.png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image" Target="media/image3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header" Target="header1.xml"/><Relationship Id="rId19" Type="http://schemas.openxmlformats.org/officeDocument/2006/relationships/image" Target="media/image40.png"/><Relationship Id="rId4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/>
            </a:pPr>
            <a:r>
              <a:rPr lang="ru-RU" sz="1050" b="0">
                <a:latin typeface="Times New Roman"/>
                <a:cs typeface="Times New Roman"/>
              </a:rPr>
              <a:t>Рис 1. Структура заказчиков</a:t>
            </a:r>
            <a:endParaRPr lang="ru-RU"/>
          </a:p>
        </c:rich>
      </c:tx>
      <c:layout>
        <c:manualLayout>
          <c:xMode val="edge"/>
          <c:yMode val="edge"/>
          <c:x val="6.5153417686923745E-3"/>
          <c:y val="0.91757729255375264"/>
        </c:manualLayout>
      </c:layout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576026361875412E-4"/>
          <c:y val="4.2569065801448286E-2"/>
          <c:w val="0.71367182722534994"/>
          <c:h val="0.763547516568718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заказчиков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областные бюджетные учреждения</c:v>
                </c:pt>
                <c:pt idx="1">
                  <c:v>органы исп. власти</c:v>
                </c:pt>
                <c:pt idx="2">
                  <c:v>муниципальные учреждения</c:v>
                </c:pt>
                <c:pt idx="3">
                  <c:v>областные казенные учреждения</c:v>
                </c:pt>
                <c:pt idx="4">
                  <c:v>гос. органы и службы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</c:v>
                </c:pt>
                <c:pt idx="1">
                  <c:v>17</c:v>
                </c:pt>
                <c:pt idx="2">
                  <c:v>40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069415720016628"/>
          <c:y val="3.3094290349384735E-2"/>
          <c:w val="0.23041176847242775"/>
          <c:h val="0.70254069981824152"/>
        </c:manualLayout>
      </c:layout>
      <c:overlay val="0"/>
      <c:txPr>
        <a:bodyPr/>
        <a:lstStyle/>
        <a:p>
          <a:pPr>
            <a:defRPr>
              <a:latin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prstGeom prst="rect">
      <a:avLst/>
    </a:prstGeom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/>
            </a:pPr>
            <a:r>
              <a:rPr lang="ru-RU" sz="1050" b="0" i="0">
                <a:latin typeface="Times New Roman"/>
                <a:cs typeface="Times New Roman"/>
              </a:rPr>
              <a:t>Рис. 4. Уровень конкуренции в зависимости от способа закупки</a:t>
            </a:r>
            <a:endParaRPr lang="ru-RU" sz="1050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1.0441747201350503E-2"/>
          <c:y val="0.92159696118387213"/>
        </c:manualLayout>
      </c:layout>
      <c:overlay val="0"/>
    </c:title>
    <c:autoTitleDeleted val="0"/>
    <c:view3D>
      <c:rotX val="60"/>
      <c:rotY val="17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95732175631122E-4"/>
          <c:y val="8.6470318218551404E-2"/>
          <c:w val="0.62605296699746249"/>
          <c:h val="0.668803545285485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заказчиков</c:v>
                </c:pt>
              </c:strCache>
            </c:strRef>
          </c:tx>
          <c:explosion val="19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Lbls>
            <c:dLbl>
              <c:idx val="0"/>
              <c:layout>
                <c:manualLayout>
                  <c:x val="-4.957843049854635E-2"/>
                  <c:y val="0.1079556038202310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3235579721217655E-2"/>
                  <c:y val="-8.094484437387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363949724065285E-2"/>
                  <c:y val="-0.163382085160682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952628369181404E-2"/>
                  <c:y val="-5.3747794088553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830884124046852E-2"/>
                  <c:y val="0.10941727162945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запрос котировок</c:v>
                </c:pt>
                <c:pt idx="3">
                  <c:v>совместные закупки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1.49</c:v>
                </c:pt>
                <c:pt idx="2">
                  <c:v>1.98</c:v>
                </c:pt>
                <c:pt idx="3">
                  <c:v>2.64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15362720483134"/>
          <c:y val="7.4673605186199379E-2"/>
          <c:w val="0.37453334262412125"/>
          <c:h val="0.70655393271670297"/>
        </c:manualLayout>
      </c:layout>
      <c:overlay val="0"/>
      <c:txPr>
        <a:bodyPr/>
        <a:lstStyle/>
        <a:p>
          <a:pPr>
            <a:defRPr sz="1100">
              <a:latin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prstGeom prst="rect">
      <a:avLst/>
    </a:prstGeom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559010964511304E-2"/>
          <c:y val="0.11867444160420258"/>
          <c:w val="0.90004934906825451"/>
          <c:h val="0.705411483768468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7844804695426092E-2"/>
                  <c:y val="7.908089187577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737708449712833E-2"/>
                  <c:y val="0.108594684067397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67128760987676E-2"/>
                  <c:y val="8.734847407437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83536324170781E-2"/>
                  <c:y val="8.0803192176809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836033376889406E-2"/>
                  <c:y val="3.9275961565224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 г.</c:v>
                </c:pt>
                <c:pt idx="6">
                  <c:v>за 9 месяцев 2022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2.9</c:v>
                </c:pt>
                <c:pt idx="1">
                  <c:v>2.5099999999999998</c:v>
                </c:pt>
                <c:pt idx="2">
                  <c:v>2.3199999999999998</c:v>
                </c:pt>
                <c:pt idx="3">
                  <c:v>2.35</c:v>
                </c:pt>
                <c:pt idx="4">
                  <c:v>2.5</c:v>
                </c:pt>
                <c:pt idx="5">
                  <c:v>2.37</c:v>
                </c:pt>
                <c:pt idx="6">
                  <c:v>2.17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740320"/>
        <c:axId val="436738624"/>
      </c:lineChart>
      <c:catAx>
        <c:axId val="43674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436738624"/>
        <c:crosses val="autoZero"/>
        <c:auto val="1"/>
        <c:lblAlgn val="ctr"/>
        <c:lblOffset val="100"/>
        <c:noMultiLvlLbl val="0"/>
      </c:catAx>
      <c:valAx>
        <c:axId val="436738624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436740320"/>
        <c:crosses val="autoZero"/>
        <c:crossBetween val="between"/>
      </c:valAx>
    </c:plotArea>
    <c:plotVisOnly val="1"/>
    <c:dispBlanksAs val="gap"/>
    <c:showDLblsOverMax val="0"/>
  </c:chart>
  <c:spPr>
    <a:prstGeom prst="rect">
      <a:avLst/>
    </a:prstGeom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50" b="0">
                <a:latin typeface="Times New Roman"/>
                <a:cs typeface="Times New Roman"/>
              </a:rPr>
              <a:t>Рис. 7. Количество аукционов и номенклатура закупаемых товаров</a:t>
            </a:r>
            <a:endParaRPr lang="ru-RU"/>
          </a:p>
        </c:rich>
      </c:tx>
      <c:layout>
        <c:manualLayout>
          <c:xMode val="edge"/>
          <c:yMode val="edge"/>
          <c:x val="1.3431995672481833E-3"/>
          <c:y val="0.9270283461817141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043725006942571E-2"/>
          <c:y val="3.8182445633269141E-2"/>
          <c:w val="0.42996459364676703"/>
          <c:h val="0.807600686896851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номенклатура закупаемых товаров, работ, услуг</c:v>
                </c:pt>
              </c:strCache>
            </c:strRef>
          </c:tx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Лист1!$A$2:$A$14</c:f>
              <c:strCache>
                <c:ptCount val="13"/>
                <c:pt idx="0">
                  <c:v>Продукты питания</c:v>
                </c:pt>
                <c:pt idx="1">
                  <c:v>Учебное оборудование </c:v>
                </c:pt>
                <c:pt idx="2">
                  <c:v>Средства индивидуальной защиты</c:v>
                </c:pt>
                <c:pt idx="3">
                  <c:v>Офисная бумага</c:v>
                </c:pt>
                <c:pt idx="4">
                  <c:v>ГСМ</c:v>
                </c:pt>
                <c:pt idx="5">
                  <c:v>Канцелярские товары</c:v>
                </c:pt>
                <c:pt idx="6">
                  <c:v>Чистящие и моющие средства</c:v>
                </c:pt>
                <c:pt idx="7">
                  <c:v>Мягкий инвентарь</c:v>
                </c:pt>
                <c:pt idx="8">
                  <c:v>Изделия медицинского назаначения</c:v>
                </c:pt>
                <c:pt idx="9">
                  <c:v>Вода питьевая</c:v>
                </c:pt>
                <c:pt idx="10">
                  <c:v>Изделия из бумаги</c:v>
                </c:pt>
                <c:pt idx="11">
                  <c:v>Лекарственные препараты</c:v>
                </c:pt>
                <c:pt idx="12">
                  <c:v>ФАП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199</c:v>
                </c:pt>
                <c:pt idx="1">
                  <c:v>17</c:v>
                </c:pt>
                <c:pt idx="2">
                  <c:v>14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689280323335575"/>
          <c:y val="1.3155807069428019E-2"/>
          <c:w val="0.39906261505950047"/>
          <c:h val="0.84444756086997752"/>
        </c:manualLayout>
      </c:layout>
      <c:overlay val="0"/>
      <c:txPr>
        <a:bodyPr/>
        <a:lstStyle/>
        <a:p>
          <a:pPr>
            <a:defRPr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prstGeom prst="rect">
      <a:avLst/>
    </a:prstGeom>
    <a:ln>
      <a:noFill/>
      <a:miter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Владимировна</dc:creator>
  <cp:lastModifiedBy>Николаева Екатерина Владимировна</cp:lastModifiedBy>
  <cp:revision>10</cp:revision>
  <dcterms:created xsi:type="dcterms:W3CDTF">2022-11-25T13:33:00Z</dcterms:created>
  <dcterms:modified xsi:type="dcterms:W3CDTF">2022-12-07T13:56:00Z</dcterms:modified>
</cp:coreProperties>
</file>